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74DFE987" w:rsidR="00A160B2" w:rsidRDefault="00AB54A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28 July</w:t>
            </w:r>
            <w:r w:rsidR="00A5339D">
              <w:rPr>
                <w:rFonts w:cs="Arial"/>
              </w:rPr>
              <w:t xml:space="preserve"> 2022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35A25166" w14:textId="77777777" w:rsidR="00A160B2" w:rsidRDefault="0075166A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Review of Pension Fund Committee Items</w:t>
            </w:r>
          </w:p>
          <w:p w14:paraId="5914456E" w14:textId="2045ED03" w:rsidR="00727AB7" w:rsidRDefault="00727AB7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7FDF94FA" w14:textId="77777777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CF266C9" w14:textId="2D85C4E7" w:rsidR="00727AB7" w:rsidRDefault="00727AB7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74FCEEEF" w14:textId="7A5F4A6F" w:rsidR="00110A2F" w:rsidRPr="00E56213" w:rsidRDefault="00A5339D" w:rsidP="00110A2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65A16444" w14:textId="657751B0" w:rsidR="00A160B2" w:rsidRPr="00F92398" w:rsidRDefault="00A160B2" w:rsidP="00727AB7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12" w:type="dxa"/>
          </w:tcPr>
          <w:p w14:paraId="6CD568AC" w14:textId="24B98948" w:rsidR="00A160B2" w:rsidRPr="00727AB7" w:rsidRDefault="004B5D7B" w:rsidP="006C3150">
            <w:pPr>
              <w:pStyle w:val="Infotext"/>
              <w:rPr>
                <w:bCs/>
              </w:rPr>
            </w:pPr>
            <w:r w:rsidRPr="00727AB7">
              <w:rPr>
                <w:bCs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23A58528" w14:textId="6C6611F6" w:rsidR="00A160B2" w:rsidRDefault="00933709" w:rsidP="006C3150">
            <w:pPr>
              <w:pStyle w:val="Infotext"/>
            </w:pPr>
            <w:r>
              <w:t xml:space="preserve">Appendix 1 – Pension Fund Valuation at 31 </w:t>
            </w:r>
            <w:r w:rsidR="00AB54A5">
              <w:t>March 2022</w:t>
            </w:r>
          </w:p>
          <w:p w14:paraId="4C232B02" w14:textId="68A8B197" w:rsidR="0049221F" w:rsidRDefault="0049221F" w:rsidP="00A5339D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3AE58E1E" w14:textId="107374A1" w:rsidR="0075166A" w:rsidRPr="008658CB" w:rsidRDefault="0075166A" w:rsidP="0075166A">
            <w:r w:rsidRPr="008658CB">
              <w:t xml:space="preserve">This </w:t>
            </w:r>
            <w:r w:rsidRPr="00A154D4">
              <w:t xml:space="preserve">report </w:t>
            </w:r>
            <w:r>
              <w:t>summarises</w:t>
            </w:r>
            <w:r w:rsidRPr="00A154D4">
              <w:t xml:space="preserve"> the matters considered by the Pension Fund Committee at </w:t>
            </w:r>
            <w:r>
              <w:t xml:space="preserve">its </w:t>
            </w:r>
            <w:r w:rsidR="00A5339D">
              <w:t>next</w:t>
            </w:r>
            <w:r w:rsidRPr="00A154D4">
              <w:t xml:space="preserve"> meeting on </w:t>
            </w:r>
            <w:r w:rsidR="00A5339D">
              <w:t xml:space="preserve">9 March </w:t>
            </w:r>
            <w:r>
              <w:t>202</w:t>
            </w:r>
            <w:r w:rsidR="00A5339D">
              <w:t>2</w:t>
            </w:r>
            <w:r w:rsidR="00ED1007">
              <w:t>, and to be considered at its next meeting on 26 July 2022</w:t>
            </w:r>
            <w:r w:rsidR="004B5D7B">
              <w:t xml:space="preserve"> </w:t>
            </w:r>
            <w:r w:rsidRPr="00A154D4">
              <w:t xml:space="preserve">and invites the Board to agree any comments </w:t>
            </w:r>
            <w:r>
              <w:t>they</w:t>
            </w:r>
            <w:r w:rsidRPr="00A154D4">
              <w:t xml:space="preserve"> might wish to make to</w:t>
            </w:r>
            <w:r>
              <w:t xml:space="preserve"> the Pension Fund Committee.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3E883939" w:rsidR="00A160B2" w:rsidRDefault="0075166A" w:rsidP="00A160B2">
            <w:r>
              <w:t xml:space="preserve">The </w:t>
            </w:r>
            <w:r>
              <w:rPr>
                <w:rFonts w:cs="Arial"/>
                <w:szCs w:val="24"/>
              </w:rPr>
              <w:t>Board</w:t>
            </w:r>
            <w:r w:rsidRPr="0076456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is requested to note the report and comment as necessary</w:t>
            </w:r>
            <w:r w:rsidR="00A360D6" w:rsidRPr="002D3381">
              <w:rPr>
                <w:szCs w:val="24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02AFEE99" w14:textId="30BBCB89" w:rsidR="0075166A" w:rsidRPr="00ED1007" w:rsidRDefault="00ED1007" w:rsidP="0075166A">
      <w:pPr>
        <w:numPr>
          <w:ilvl w:val="0"/>
          <w:numId w:val="16"/>
        </w:numPr>
        <w:jc w:val="both"/>
      </w:pPr>
      <w:r>
        <w:t>A</w:t>
      </w:r>
      <w:r w:rsidR="0075166A" w:rsidRPr="00ED1007">
        <w:rPr>
          <w:bCs/>
          <w:szCs w:val="24"/>
        </w:rPr>
        <w:t xml:space="preserve">t its meeting on </w:t>
      </w:r>
      <w:r w:rsidR="00A5339D" w:rsidRPr="00ED1007">
        <w:rPr>
          <w:bCs/>
          <w:szCs w:val="24"/>
        </w:rPr>
        <w:t xml:space="preserve">9 March 2022 </w:t>
      </w:r>
      <w:r>
        <w:rPr>
          <w:bCs/>
          <w:szCs w:val="24"/>
        </w:rPr>
        <w:t>the Committee considered the following items</w:t>
      </w:r>
    </w:p>
    <w:p w14:paraId="32610839" w14:textId="77777777" w:rsidR="0075166A" w:rsidRPr="00ED1007" w:rsidRDefault="0075166A" w:rsidP="0075166A">
      <w:pPr>
        <w:ind w:left="720"/>
        <w:rPr>
          <w:bCs/>
          <w:szCs w:val="24"/>
        </w:rPr>
      </w:pPr>
    </w:p>
    <w:p w14:paraId="4F8545BB" w14:textId="77777777" w:rsidR="0075166A" w:rsidRPr="00AF03DC" w:rsidRDefault="0075166A" w:rsidP="0075166A">
      <w:pPr>
        <w:ind w:left="720"/>
        <w:rPr>
          <w:bCs/>
          <w:szCs w:val="24"/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8"/>
      </w:tblGrid>
      <w:tr w:rsidR="0075166A" w:rsidRPr="00ED1007" w14:paraId="41499451" w14:textId="77777777" w:rsidTr="00ED1007">
        <w:tc>
          <w:tcPr>
            <w:tcW w:w="2961" w:type="dxa"/>
            <w:shd w:val="clear" w:color="auto" w:fill="auto"/>
          </w:tcPr>
          <w:p w14:paraId="46D0EB4E" w14:textId="77777777" w:rsidR="0075166A" w:rsidRPr="00ED1007" w:rsidRDefault="0075166A" w:rsidP="00FC33FC">
            <w:pPr>
              <w:rPr>
                <w:b/>
                <w:szCs w:val="24"/>
              </w:rPr>
            </w:pPr>
            <w:r w:rsidRPr="00ED1007">
              <w:rPr>
                <w:b/>
                <w:szCs w:val="24"/>
              </w:rPr>
              <w:t>Report</w:t>
            </w:r>
          </w:p>
        </w:tc>
        <w:tc>
          <w:tcPr>
            <w:tcW w:w="4618" w:type="dxa"/>
            <w:shd w:val="clear" w:color="auto" w:fill="auto"/>
          </w:tcPr>
          <w:p w14:paraId="57DFD70B" w14:textId="77777777" w:rsidR="0075166A" w:rsidRPr="00ED1007" w:rsidRDefault="0075166A" w:rsidP="00FC33FC">
            <w:pPr>
              <w:rPr>
                <w:b/>
                <w:szCs w:val="24"/>
              </w:rPr>
            </w:pPr>
            <w:r w:rsidRPr="00ED1007">
              <w:rPr>
                <w:b/>
                <w:szCs w:val="24"/>
              </w:rPr>
              <w:t>Comments</w:t>
            </w:r>
          </w:p>
        </w:tc>
      </w:tr>
      <w:tr w:rsidR="0075166A" w:rsidRPr="00ED1007" w14:paraId="25073024" w14:textId="77777777" w:rsidTr="00ED1007">
        <w:tc>
          <w:tcPr>
            <w:tcW w:w="2961" w:type="dxa"/>
            <w:shd w:val="clear" w:color="auto" w:fill="auto"/>
          </w:tcPr>
          <w:p w14:paraId="3ECBC0AA" w14:textId="77777777" w:rsidR="0075166A" w:rsidRPr="00ED1007" w:rsidRDefault="0075166A" w:rsidP="00FC33FC">
            <w:pPr>
              <w:rPr>
                <w:b/>
                <w:szCs w:val="24"/>
              </w:rPr>
            </w:pPr>
            <w:r w:rsidRPr="00ED1007">
              <w:rPr>
                <w:b/>
                <w:szCs w:val="24"/>
              </w:rPr>
              <w:t>Part I</w:t>
            </w:r>
          </w:p>
        </w:tc>
        <w:tc>
          <w:tcPr>
            <w:tcW w:w="4618" w:type="dxa"/>
            <w:shd w:val="clear" w:color="auto" w:fill="auto"/>
          </w:tcPr>
          <w:p w14:paraId="29AB2069" w14:textId="77777777" w:rsidR="0075166A" w:rsidRPr="00ED1007" w:rsidRDefault="0075166A" w:rsidP="00FC33FC">
            <w:pPr>
              <w:rPr>
                <w:bCs/>
                <w:szCs w:val="24"/>
              </w:rPr>
            </w:pPr>
          </w:p>
        </w:tc>
      </w:tr>
      <w:tr w:rsidR="0075166A" w:rsidRPr="00ED1007" w14:paraId="2F2A8C66" w14:textId="77777777" w:rsidTr="00ED1007">
        <w:tc>
          <w:tcPr>
            <w:tcW w:w="2961" w:type="dxa"/>
            <w:shd w:val="clear" w:color="auto" w:fill="auto"/>
          </w:tcPr>
          <w:p w14:paraId="0ECD9CAD" w14:textId="27F3BA24" w:rsidR="0075166A" w:rsidRPr="00ED1007" w:rsidRDefault="00777E2D" w:rsidP="00FC33FC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>Appointment of Independent Advisors</w:t>
            </w:r>
          </w:p>
          <w:p w14:paraId="010061AF" w14:textId="77777777" w:rsidR="0075166A" w:rsidRPr="00ED1007" w:rsidRDefault="0075166A" w:rsidP="00FC33FC">
            <w:pPr>
              <w:rPr>
                <w:bCs/>
                <w:szCs w:val="24"/>
              </w:rPr>
            </w:pPr>
          </w:p>
        </w:tc>
        <w:tc>
          <w:tcPr>
            <w:tcW w:w="4618" w:type="dxa"/>
            <w:shd w:val="clear" w:color="auto" w:fill="auto"/>
          </w:tcPr>
          <w:p w14:paraId="6EF103C5" w14:textId="041FAAB8" w:rsidR="00A644A0" w:rsidRPr="00ED1007" w:rsidRDefault="00ED1007" w:rsidP="00A533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Mr Colin Robertson and Alderman Richard Romain were reappointed as the Committee’s independent advisors.</w:t>
            </w:r>
            <w:r w:rsidR="00A5339D" w:rsidRPr="00ED1007">
              <w:rPr>
                <w:bCs/>
                <w:szCs w:val="24"/>
              </w:rPr>
              <w:t xml:space="preserve"> </w:t>
            </w:r>
          </w:p>
        </w:tc>
      </w:tr>
      <w:tr w:rsidR="0075166A" w:rsidRPr="00ED1007" w14:paraId="16044C78" w14:textId="77777777" w:rsidTr="00FC33FC">
        <w:tc>
          <w:tcPr>
            <w:tcW w:w="2961" w:type="dxa"/>
          </w:tcPr>
          <w:p w14:paraId="360DDD1A" w14:textId="77777777" w:rsidR="0075166A" w:rsidRPr="00ED1007" w:rsidRDefault="0075166A" w:rsidP="00FC33FC">
            <w:pPr>
              <w:rPr>
                <w:bCs/>
                <w:szCs w:val="24"/>
              </w:rPr>
            </w:pPr>
            <w:r w:rsidRPr="00ED1007">
              <w:t>Performance Dashboard and Update on Regular items</w:t>
            </w:r>
          </w:p>
        </w:tc>
        <w:tc>
          <w:tcPr>
            <w:tcW w:w="4618" w:type="dxa"/>
          </w:tcPr>
          <w:p w14:paraId="79AA2BAF" w14:textId="3FAE361A" w:rsidR="0075166A" w:rsidRPr="00ED1007" w:rsidRDefault="004B5D7B" w:rsidP="00FC33FC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>The Committee</w:t>
            </w:r>
            <w:r w:rsidR="00A5339D" w:rsidRPr="00ED1007">
              <w:rPr>
                <w:bCs/>
                <w:szCs w:val="24"/>
              </w:rPr>
              <w:t xml:space="preserve"> </w:t>
            </w:r>
            <w:r w:rsidR="00ED1007">
              <w:rPr>
                <w:bCs/>
                <w:szCs w:val="24"/>
              </w:rPr>
              <w:t>considered</w:t>
            </w:r>
            <w:r w:rsidRPr="00ED1007">
              <w:rPr>
                <w:bCs/>
                <w:szCs w:val="24"/>
              </w:rPr>
              <w:t xml:space="preserve"> the</w:t>
            </w:r>
            <w:r w:rsidR="0075166A" w:rsidRPr="00ED1007">
              <w:rPr>
                <w:bCs/>
                <w:szCs w:val="24"/>
              </w:rPr>
              <w:t xml:space="preserve"> report</w:t>
            </w:r>
            <w:r w:rsidRPr="00ED1007">
              <w:rPr>
                <w:bCs/>
                <w:szCs w:val="24"/>
              </w:rPr>
              <w:t xml:space="preserve">, which </w:t>
            </w:r>
            <w:r w:rsidR="0075166A" w:rsidRPr="00ED1007">
              <w:rPr>
                <w:bCs/>
                <w:szCs w:val="24"/>
              </w:rPr>
              <w:t>summarise</w:t>
            </w:r>
            <w:r w:rsidRPr="00ED1007">
              <w:rPr>
                <w:bCs/>
                <w:szCs w:val="24"/>
              </w:rPr>
              <w:t>d</w:t>
            </w:r>
            <w:r w:rsidR="0075166A" w:rsidRPr="00ED1007">
              <w:rPr>
                <w:bCs/>
                <w:szCs w:val="24"/>
              </w:rPr>
              <w:t xml:space="preserve"> the position of the Fund at </w:t>
            </w:r>
            <w:r w:rsidR="00F1403C" w:rsidRPr="00ED1007">
              <w:rPr>
                <w:bCs/>
                <w:szCs w:val="24"/>
              </w:rPr>
              <w:t>the end of Q</w:t>
            </w:r>
            <w:r w:rsidR="00A5339D" w:rsidRPr="00ED1007">
              <w:rPr>
                <w:bCs/>
                <w:szCs w:val="24"/>
              </w:rPr>
              <w:t>4</w:t>
            </w:r>
            <w:r w:rsidR="00F1403C" w:rsidRPr="00ED1007">
              <w:rPr>
                <w:bCs/>
                <w:szCs w:val="24"/>
              </w:rPr>
              <w:t xml:space="preserve"> 202</w:t>
            </w:r>
            <w:r w:rsidR="002A5BDC" w:rsidRPr="00ED1007">
              <w:rPr>
                <w:bCs/>
                <w:szCs w:val="24"/>
              </w:rPr>
              <w:t>1</w:t>
            </w:r>
            <w:r w:rsidR="00F1403C" w:rsidRPr="00ED1007">
              <w:rPr>
                <w:bCs/>
                <w:szCs w:val="24"/>
              </w:rPr>
              <w:t xml:space="preserve"> (</w:t>
            </w:r>
            <w:r w:rsidR="002A5BDC" w:rsidRPr="00ED1007">
              <w:rPr>
                <w:bCs/>
                <w:szCs w:val="24"/>
              </w:rPr>
              <w:t>3</w:t>
            </w:r>
            <w:r w:rsidR="00A5339D" w:rsidRPr="00ED1007">
              <w:rPr>
                <w:bCs/>
                <w:szCs w:val="24"/>
              </w:rPr>
              <w:t>1</w:t>
            </w:r>
            <w:r w:rsidR="002A5BDC" w:rsidRPr="00ED1007">
              <w:rPr>
                <w:bCs/>
                <w:szCs w:val="24"/>
              </w:rPr>
              <w:t xml:space="preserve"> </w:t>
            </w:r>
            <w:r w:rsidR="00A5339D" w:rsidRPr="00ED1007">
              <w:rPr>
                <w:bCs/>
                <w:szCs w:val="24"/>
              </w:rPr>
              <w:lastRenderedPageBreak/>
              <w:t>Dec</w:t>
            </w:r>
            <w:r w:rsidR="00777E2D" w:rsidRPr="00ED1007">
              <w:rPr>
                <w:bCs/>
                <w:szCs w:val="24"/>
              </w:rPr>
              <w:t xml:space="preserve">ember </w:t>
            </w:r>
            <w:r w:rsidR="002A5BDC" w:rsidRPr="00ED1007">
              <w:rPr>
                <w:bCs/>
                <w:szCs w:val="24"/>
              </w:rPr>
              <w:t>2021</w:t>
            </w:r>
            <w:r w:rsidR="00F1403C" w:rsidRPr="00ED1007">
              <w:rPr>
                <w:bCs/>
                <w:szCs w:val="24"/>
              </w:rPr>
              <w:t xml:space="preserve">) </w:t>
            </w:r>
            <w:r w:rsidR="0075166A" w:rsidRPr="00ED1007">
              <w:rPr>
                <w:bCs/>
                <w:szCs w:val="24"/>
              </w:rPr>
              <w:t xml:space="preserve">and </w:t>
            </w:r>
            <w:r w:rsidRPr="00ED1007">
              <w:rPr>
                <w:bCs/>
                <w:szCs w:val="24"/>
              </w:rPr>
              <w:t xml:space="preserve">agreed a draft </w:t>
            </w:r>
            <w:r w:rsidR="0075166A" w:rsidRPr="00ED1007">
              <w:rPr>
                <w:bCs/>
                <w:szCs w:val="24"/>
              </w:rPr>
              <w:t>work programme for the Committee for the 202</w:t>
            </w:r>
            <w:r w:rsidR="00A5339D" w:rsidRPr="00ED1007">
              <w:rPr>
                <w:bCs/>
                <w:szCs w:val="24"/>
              </w:rPr>
              <w:t>2-23</w:t>
            </w:r>
            <w:r w:rsidR="00F1403C" w:rsidRPr="00ED1007">
              <w:rPr>
                <w:bCs/>
                <w:szCs w:val="24"/>
              </w:rPr>
              <w:t xml:space="preserve"> municipal </w:t>
            </w:r>
            <w:r w:rsidR="00777E2D" w:rsidRPr="00ED1007">
              <w:rPr>
                <w:bCs/>
                <w:szCs w:val="24"/>
              </w:rPr>
              <w:t>year.</w:t>
            </w:r>
            <w:r w:rsidR="0075166A" w:rsidRPr="00ED1007">
              <w:rPr>
                <w:bCs/>
                <w:szCs w:val="24"/>
              </w:rPr>
              <w:t xml:space="preserve"> </w:t>
            </w:r>
          </w:p>
          <w:p w14:paraId="072448AA" w14:textId="77777777" w:rsidR="0075166A" w:rsidRPr="00ED1007" w:rsidRDefault="0075166A" w:rsidP="004B5D7B">
            <w:pPr>
              <w:rPr>
                <w:bCs/>
                <w:szCs w:val="24"/>
              </w:rPr>
            </w:pPr>
          </w:p>
        </w:tc>
      </w:tr>
      <w:tr w:rsidR="001F6722" w:rsidRPr="00ED1007" w14:paraId="6250D94D" w14:textId="77777777" w:rsidTr="00D365CC">
        <w:tc>
          <w:tcPr>
            <w:tcW w:w="2961" w:type="dxa"/>
          </w:tcPr>
          <w:p w14:paraId="7553BE51" w14:textId="1CB7094F" w:rsidR="001F6722" w:rsidRPr="00ED1007" w:rsidRDefault="00A5339D" w:rsidP="00FC33FC">
            <w:r w:rsidRPr="00ED1007">
              <w:lastRenderedPageBreak/>
              <w:t xml:space="preserve">Review and Approval of Fund Policies </w:t>
            </w:r>
            <w:r w:rsidR="002A5BDC" w:rsidRPr="00ED1007"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14:paraId="414927FE" w14:textId="77777777" w:rsidR="00ED1007" w:rsidRDefault="00ED1007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Committee considered </w:t>
            </w:r>
            <w:r w:rsidR="00A5339D" w:rsidRPr="00ED1007">
              <w:rPr>
                <w:bCs/>
                <w:szCs w:val="24"/>
              </w:rPr>
              <w:t>and approve</w:t>
            </w:r>
            <w:r>
              <w:rPr>
                <w:bCs/>
                <w:szCs w:val="24"/>
              </w:rPr>
              <w:t>d</w:t>
            </w:r>
            <w:r w:rsidR="00A5339D" w:rsidRPr="00ED1007">
              <w:rPr>
                <w:bCs/>
                <w:szCs w:val="24"/>
              </w:rPr>
              <w:t xml:space="preserve"> four Fund Policies</w:t>
            </w:r>
            <w:r>
              <w:rPr>
                <w:bCs/>
                <w:szCs w:val="24"/>
              </w:rPr>
              <w:t>, all of which had been previously reviewed by the Board and reflected the comments and recommendations of the Board, as follows:</w:t>
            </w:r>
          </w:p>
          <w:p w14:paraId="46C07543" w14:textId="64AFEFFE" w:rsidR="00A5339D" w:rsidRPr="00ED1007" w:rsidRDefault="00A5339D" w:rsidP="00ED1007">
            <w:pPr>
              <w:pStyle w:val="ListParagraph"/>
              <w:numPr>
                <w:ilvl w:val="0"/>
                <w:numId w:val="25"/>
              </w:num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>Breaches Policy</w:t>
            </w:r>
          </w:p>
          <w:p w14:paraId="223C6857" w14:textId="27977C1B" w:rsidR="00A5339D" w:rsidRPr="00ED1007" w:rsidRDefault="009F30CC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D1007">
              <w:rPr>
                <w:bCs/>
                <w:sz w:val="24"/>
                <w:szCs w:val="24"/>
              </w:rPr>
              <w:t>Conflicts</w:t>
            </w:r>
            <w:r w:rsidR="00A5339D" w:rsidRPr="00ED1007">
              <w:rPr>
                <w:bCs/>
                <w:sz w:val="24"/>
                <w:szCs w:val="24"/>
              </w:rPr>
              <w:t xml:space="preserve"> of Interest Policy</w:t>
            </w:r>
          </w:p>
          <w:p w14:paraId="73A7E079" w14:textId="548CB84A" w:rsidR="00A5339D" w:rsidRPr="00ED1007" w:rsidRDefault="00A5339D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D1007">
              <w:rPr>
                <w:bCs/>
                <w:sz w:val="24"/>
                <w:szCs w:val="24"/>
              </w:rPr>
              <w:t>Pension Fund Administration Strategy</w:t>
            </w:r>
          </w:p>
          <w:p w14:paraId="3C1CA89D" w14:textId="5900413F" w:rsidR="00A5339D" w:rsidRPr="00ED1007" w:rsidRDefault="00A5339D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D1007">
              <w:rPr>
                <w:bCs/>
                <w:sz w:val="24"/>
                <w:szCs w:val="24"/>
              </w:rPr>
              <w:t xml:space="preserve">Training Policy </w:t>
            </w:r>
          </w:p>
          <w:p w14:paraId="28B9286E" w14:textId="6754D6D6" w:rsidR="00540AA5" w:rsidRPr="00ED1007" w:rsidRDefault="00540AA5" w:rsidP="00FC33FC">
            <w:pPr>
              <w:rPr>
                <w:bCs/>
                <w:szCs w:val="24"/>
              </w:rPr>
            </w:pPr>
          </w:p>
        </w:tc>
      </w:tr>
      <w:tr w:rsidR="00BA423E" w:rsidRPr="00ED1007" w14:paraId="22F4EAA7" w14:textId="77777777" w:rsidTr="00D365CC">
        <w:tc>
          <w:tcPr>
            <w:tcW w:w="2961" w:type="dxa"/>
          </w:tcPr>
          <w:p w14:paraId="7D3DA046" w14:textId="66C235A4" w:rsidR="00BA423E" w:rsidRPr="00ED1007" w:rsidRDefault="00BA423E" w:rsidP="00FC33FC">
            <w:r w:rsidRPr="00ED1007">
              <w:t>Review of Pension Fund Risk Register</w:t>
            </w:r>
          </w:p>
        </w:tc>
        <w:tc>
          <w:tcPr>
            <w:tcW w:w="4618" w:type="dxa"/>
            <w:shd w:val="clear" w:color="auto" w:fill="auto"/>
          </w:tcPr>
          <w:p w14:paraId="403A9863" w14:textId="5184AF95" w:rsidR="00BA423E" w:rsidRPr="00ED1007" w:rsidRDefault="00BA423E" w:rsidP="00FC33FC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>T</w:t>
            </w:r>
            <w:r w:rsidR="00ED1007">
              <w:rPr>
                <w:bCs/>
                <w:szCs w:val="24"/>
              </w:rPr>
              <w:t xml:space="preserve">he Committee reviewed the Register and noted the additional mitigations in place for some risks.  </w:t>
            </w:r>
          </w:p>
        </w:tc>
      </w:tr>
      <w:tr w:rsidR="002A5BDC" w:rsidRPr="00ED1007" w14:paraId="356D1E0D" w14:textId="77777777" w:rsidTr="00FC33FC">
        <w:tc>
          <w:tcPr>
            <w:tcW w:w="2961" w:type="dxa"/>
          </w:tcPr>
          <w:p w14:paraId="3DF65F9A" w14:textId="77777777" w:rsidR="002A5BDC" w:rsidRPr="00ED1007" w:rsidRDefault="002A5BDC" w:rsidP="002A5BDC">
            <w:pPr>
              <w:rPr>
                <w:b/>
                <w:szCs w:val="24"/>
              </w:rPr>
            </w:pPr>
            <w:r w:rsidRPr="00ED1007">
              <w:rPr>
                <w:b/>
                <w:szCs w:val="24"/>
              </w:rPr>
              <w:t>Part II</w:t>
            </w:r>
          </w:p>
        </w:tc>
        <w:tc>
          <w:tcPr>
            <w:tcW w:w="4618" w:type="dxa"/>
          </w:tcPr>
          <w:p w14:paraId="2FBE5FC7" w14:textId="77777777" w:rsidR="002A5BDC" w:rsidRPr="00ED1007" w:rsidRDefault="002A5BDC" w:rsidP="002A5BDC">
            <w:pPr>
              <w:rPr>
                <w:bCs/>
                <w:szCs w:val="24"/>
              </w:rPr>
            </w:pPr>
          </w:p>
        </w:tc>
      </w:tr>
      <w:tr w:rsidR="00A5339D" w:rsidRPr="00ED1007" w14:paraId="01F6745A" w14:textId="77777777" w:rsidTr="00FC33FC">
        <w:tc>
          <w:tcPr>
            <w:tcW w:w="2961" w:type="dxa"/>
          </w:tcPr>
          <w:p w14:paraId="1BEDFB8C" w14:textId="77777777" w:rsidR="00A5339D" w:rsidRPr="00ED1007" w:rsidRDefault="00BD02E1" w:rsidP="002A5BDC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>2022 Triennial Valuation – Review of Assumptions</w:t>
            </w:r>
          </w:p>
          <w:p w14:paraId="4F7A3421" w14:textId="2585DFF8" w:rsidR="00BD02E1" w:rsidRPr="00ED1007" w:rsidRDefault="00BD02E1" w:rsidP="002A5BDC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365F028C" w14:textId="27D1D570" w:rsidR="00A5339D" w:rsidRPr="00ED1007" w:rsidRDefault="00BD02E1" w:rsidP="002A5BDC">
            <w:pPr>
              <w:rPr>
                <w:szCs w:val="24"/>
              </w:rPr>
            </w:pPr>
            <w:r w:rsidRPr="00ED1007">
              <w:rPr>
                <w:szCs w:val="24"/>
              </w:rPr>
              <w:t xml:space="preserve">The Fund’s Actuary – Laura McInroy of Hymans Robertson – </w:t>
            </w:r>
            <w:r w:rsidR="00ED1007">
              <w:rPr>
                <w:szCs w:val="24"/>
              </w:rPr>
              <w:t>presented</w:t>
            </w:r>
            <w:r w:rsidRPr="00ED1007">
              <w:rPr>
                <w:szCs w:val="24"/>
              </w:rPr>
              <w:t xml:space="preserve"> to the Committee on the approach and assumptions to be used in the valuation.</w:t>
            </w:r>
          </w:p>
          <w:p w14:paraId="5D8696EF" w14:textId="644A5DA0" w:rsidR="00BD02E1" w:rsidRPr="00ED1007" w:rsidRDefault="00BD02E1" w:rsidP="002A5BDC">
            <w:pPr>
              <w:rPr>
                <w:szCs w:val="24"/>
              </w:rPr>
            </w:pPr>
            <w:r w:rsidRPr="00ED1007">
              <w:rPr>
                <w:szCs w:val="24"/>
              </w:rPr>
              <w:t xml:space="preserve">The report </w:t>
            </w:r>
            <w:r w:rsidR="00ED1007">
              <w:rPr>
                <w:szCs w:val="24"/>
              </w:rPr>
              <w:t xml:space="preserve">was considered </w:t>
            </w:r>
            <w:r w:rsidRPr="00ED1007">
              <w:rPr>
                <w:szCs w:val="24"/>
              </w:rPr>
              <w:t>in part 2 as Hymans Robertson regard the valuation methodology as being their intellectual / commercial property.</w:t>
            </w:r>
          </w:p>
          <w:p w14:paraId="1E2EBC31" w14:textId="7DD3833F" w:rsidR="00BD02E1" w:rsidRPr="00ED1007" w:rsidRDefault="00BD02E1" w:rsidP="002A5BDC">
            <w:pPr>
              <w:rPr>
                <w:szCs w:val="24"/>
              </w:rPr>
            </w:pPr>
          </w:p>
        </w:tc>
      </w:tr>
      <w:tr w:rsidR="00A644A0" w:rsidRPr="00ED1007" w14:paraId="1199F105" w14:textId="77777777" w:rsidTr="00FC33FC">
        <w:tc>
          <w:tcPr>
            <w:tcW w:w="2961" w:type="dxa"/>
          </w:tcPr>
          <w:p w14:paraId="2FD39F7E" w14:textId="11A93257" w:rsidR="00A644A0" w:rsidRPr="00ED1007" w:rsidRDefault="00A5339D" w:rsidP="002A5BDC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 xml:space="preserve">Review of Emerging Market </w:t>
            </w:r>
            <w:r w:rsidR="00ED1007">
              <w:rPr>
                <w:bCs/>
                <w:szCs w:val="24"/>
              </w:rPr>
              <w:t xml:space="preserve">(EM) </w:t>
            </w:r>
            <w:r w:rsidRPr="00ED1007">
              <w:rPr>
                <w:bCs/>
                <w:szCs w:val="24"/>
              </w:rPr>
              <w:t xml:space="preserve">Equities </w:t>
            </w:r>
          </w:p>
        </w:tc>
        <w:tc>
          <w:tcPr>
            <w:tcW w:w="4618" w:type="dxa"/>
          </w:tcPr>
          <w:p w14:paraId="43EF0F39" w14:textId="4A7AE7DF" w:rsidR="00BD02E1" w:rsidRPr="00ED1007" w:rsidRDefault="00ED1007" w:rsidP="00BD02E1">
            <w:pPr>
              <w:rPr>
                <w:szCs w:val="24"/>
              </w:rPr>
            </w:pPr>
            <w:r>
              <w:rPr>
                <w:szCs w:val="24"/>
              </w:rPr>
              <w:t xml:space="preserve">The Committee approved the redemption of the Fund’s EM equity investments managed by GMO, and the investment of the proceeds in the London CIV Emerging Market Equity Fund. </w:t>
            </w:r>
          </w:p>
          <w:p w14:paraId="649A6177" w14:textId="4527D659" w:rsidR="009824C9" w:rsidRPr="00ED1007" w:rsidRDefault="009824C9" w:rsidP="002A5BDC">
            <w:pPr>
              <w:rPr>
                <w:szCs w:val="24"/>
              </w:rPr>
            </w:pPr>
          </w:p>
        </w:tc>
      </w:tr>
    </w:tbl>
    <w:p w14:paraId="383BD210" w14:textId="77777777" w:rsidR="0075166A" w:rsidRPr="00ED1007" w:rsidRDefault="0075166A" w:rsidP="0075166A">
      <w:pPr>
        <w:ind w:left="720"/>
        <w:jc w:val="both"/>
      </w:pPr>
    </w:p>
    <w:p w14:paraId="46869A57" w14:textId="3B53DB94" w:rsidR="00EC05E5" w:rsidRDefault="00976004" w:rsidP="00BA49BF">
      <w:pPr>
        <w:numPr>
          <w:ilvl w:val="0"/>
          <w:numId w:val="16"/>
        </w:numPr>
        <w:jc w:val="both"/>
        <w:rPr>
          <w:szCs w:val="24"/>
        </w:rPr>
      </w:pPr>
      <w:r w:rsidRPr="00976004">
        <w:rPr>
          <w:szCs w:val="24"/>
        </w:rPr>
        <w:t>The Committee’s next meeting w</w:t>
      </w:r>
      <w:r w:rsidR="00EC05E5">
        <w:rPr>
          <w:szCs w:val="24"/>
        </w:rPr>
        <w:t>as due to</w:t>
      </w:r>
      <w:r w:rsidRPr="00976004">
        <w:rPr>
          <w:szCs w:val="24"/>
        </w:rPr>
        <w:t xml:space="preserve"> be held on 26</w:t>
      </w:r>
      <w:r w:rsidRPr="00976004">
        <w:rPr>
          <w:szCs w:val="24"/>
          <w:vertAlign w:val="superscript"/>
        </w:rPr>
        <w:t>th</w:t>
      </w:r>
      <w:r w:rsidRPr="00976004">
        <w:rPr>
          <w:szCs w:val="24"/>
        </w:rPr>
        <w:t xml:space="preserve"> July 2022. </w:t>
      </w:r>
      <w:r w:rsidR="00EC05E5">
        <w:rPr>
          <w:szCs w:val="24"/>
        </w:rPr>
        <w:t xml:space="preserve">As there are no decision required, the meeting will instead be an informal induction / training session, beginning at 5.30pm. Pension Board members will be invited to join this session, and will receive copies of the papers. </w:t>
      </w:r>
    </w:p>
    <w:p w14:paraId="3BE4D4FE" w14:textId="77777777" w:rsidR="00EC05E5" w:rsidRDefault="00EC05E5" w:rsidP="00EC05E5">
      <w:pPr>
        <w:ind w:left="720"/>
        <w:jc w:val="both"/>
        <w:rPr>
          <w:szCs w:val="24"/>
        </w:rPr>
      </w:pPr>
    </w:p>
    <w:p w14:paraId="01E2352F" w14:textId="7AB9D754" w:rsidR="00BD02E1" w:rsidRDefault="00976004" w:rsidP="00BA49BF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The items to be co</w:t>
      </w:r>
      <w:r w:rsidR="00EC05E5">
        <w:rPr>
          <w:szCs w:val="24"/>
        </w:rPr>
        <w:t>vered</w:t>
      </w:r>
      <w:r>
        <w:rPr>
          <w:szCs w:val="24"/>
        </w:rPr>
        <w:t xml:space="preserve"> are in the following table</w:t>
      </w:r>
    </w:p>
    <w:p w14:paraId="0BFF743E" w14:textId="77777777" w:rsidR="00976004" w:rsidRDefault="00976004" w:rsidP="00976004">
      <w:pPr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8"/>
      </w:tblGrid>
      <w:tr w:rsidR="00976004" w:rsidRPr="00ED1007" w14:paraId="339CE366" w14:textId="77777777" w:rsidTr="007D2C0B">
        <w:tc>
          <w:tcPr>
            <w:tcW w:w="2961" w:type="dxa"/>
          </w:tcPr>
          <w:p w14:paraId="3957D389" w14:textId="48B97D15" w:rsidR="00976004" w:rsidRPr="00ED1007" w:rsidRDefault="006E48DE" w:rsidP="007D2C0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4618" w:type="dxa"/>
          </w:tcPr>
          <w:p w14:paraId="795B035C" w14:textId="7234AB47" w:rsidR="00976004" w:rsidRPr="006E48DE" w:rsidRDefault="006E48DE" w:rsidP="007D2C0B">
            <w:pPr>
              <w:rPr>
                <w:b/>
                <w:szCs w:val="24"/>
              </w:rPr>
            </w:pPr>
            <w:r w:rsidRPr="006E48DE">
              <w:rPr>
                <w:b/>
                <w:szCs w:val="24"/>
              </w:rPr>
              <w:t>details</w:t>
            </w:r>
          </w:p>
        </w:tc>
      </w:tr>
      <w:tr w:rsidR="00976004" w:rsidRPr="00ED1007" w14:paraId="52198B43" w14:textId="77777777" w:rsidTr="007D2C0B">
        <w:tc>
          <w:tcPr>
            <w:tcW w:w="2961" w:type="dxa"/>
          </w:tcPr>
          <w:p w14:paraId="2F1EFFAC" w14:textId="3A28259D" w:rsidR="00976004" w:rsidRPr="00ED1007" w:rsidRDefault="00976004" w:rsidP="00976004">
            <w:pPr>
              <w:rPr>
                <w:bCs/>
                <w:szCs w:val="24"/>
              </w:rPr>
            </w:pPr>
            <w:r w:rsidRPr="00ED1007">
              <w:t>Performance Dashboard and Update on Regular items</w:t>
            </w:r>
          </w:p>
        </w:tc>
        <w:tc>
          <w:tcPr>
            <w:tcW w:w="4618" w:type="dxa"/>
          </w:tcPr>
          <w:p w14:paraId="3137DD6A" w14:textId="5ADE0214" w:rsidR="00976004" w:rsidRPr="00ED1007" w:rsidRDefault="00976004" w:rsidP="00976004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t xml:space="preserve">The Committee </w:t>
            </w:r>
            <w:r>
              <w:rPr>
                <w:bCs/>
                <w:szCs w:val="24"/>
              </w:rPr>
              <w:t>considered</w:t>
            </w:r>
            <w:r w:rsidRPr="00ED1007">
              <w:rPr>
                <w:bCs/>
                <w:szCs w:val="24"/>
              </w:rPr>
              <w:t xml:space="preserve"> the report, which summarised the position of the Fund at the end of Q</w:t>
            </w:r>
            <w:r>
              <w:rPr>
                <w:bCs/>
                <w:szCs w:val="24"/>
              </w:rPr>
              <w:t>1</w:t>
            </w:r>
            <w:r w:rsidRPr="00ED1007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2</w:t>
            </w:r>
            <w:r w:rsidRPr="00ED1007">
              <w:rPr>
                <w:bCs/>
                <w:szCs w:val="24"/>
              </w:rPr>
              <w:t xml:space="preserve"> (31 </w:t>
            </w:r>
            <w:r>
              <w:rPr>
                <w:bCs/>
                <w:szCs w:val="24"/>
              </w:rPr>
              <w:t>March 2022</w:t>
            </w:r>
            <w:r w:rsidRPr="00ED1007">
              <w:rPr>
                <w:bCs/>
                <w:szCs w:val="24"/>
              </w:rPr>
              <w:t xml:space="preserve">) and </w:t>
            </w:r>
            <w:r>
              <w:rPr>
                <w:bCs/>
                <w:szCs w:val="24"/>
              </w:rPr>
              <w:t>the</w:t>
            </w:r>
            <w:r w:rsidRPr="00ED1007">
              <w:rPr>
                <w:bCs/>
                <w:szCs w:val="24"/>
              </w:rPr>
              <w:t xml:space="preserve"> draft work programme for the Committee for the </w:t>
            </w:r>
            <w:r>
              <w:rPr>
                <w:bCs/>
                <w:szCs w:val="24"/>
              </w:rPr>
              <w:t xml:space="preserve">remainder of the </w:t>
            </w:r>
            <w:r w:rsidRPr="00ED1007">
              <w:rPr>
                <w:bCs/>
                <w:szCs w:val="24"/>
              </w:rPr>
              <w:t xml:space="preserve">2022-23 municipal year. </w:t>
            </w:r>
          </w:p>
          <w:p w14:paraId="5343261A" w14:textId="77777777" w:rsidR="00976004" w:rsidRPr="00ED1007" w:rsidRDefault="00976004" w:rsidP="00976004">
            <w:pPr>
              <w:rPr>
                <w:szCs w:val="24"/>
              </w:rPr>
            </w:pPr>
          </w:p>
        </w:tc>
      </w:tr>
      <w:tr w:rsidR="00976004" w:rsidRPr="00ED1007" w14:paraId="29C6BD96" w14:textId="77777777" w:rsidTr="007D2C0B">
        <w:tc>
          <w:tcPr>
            <w:tcW w:w="2961" w:type="dxa"/>
          </w:tcPr>
          <w:p w14:paraId="24CC8704" w14:textId="77777777" w:rsidR="00976004" w:rsidRPr="00ED1007" w:rsidRDefault="00976004" w:rsidP="00976004">
            <w:pPr>
              <w:rPr>
                <w:bCs/>
                <w:szCs w:val="24"/>
              </w:rPr>
            </w:pPr>
            <w:r w:rsidRPr="00ED1007">
              <w:rPr>
                <w:bCs/>
                <w:szCs w:val="24"/>
              </w:rPr>
              <w:lastRenderedPageBreak/>
              <w:t>2022 Triennial Valuation – Review of Assumptions</w:t>
            </w:r>
          </w:p>
          <w:p w14:paraId="55645874" w14:textId="77777777" w:rsidR="00976004" w:rsidRPr="00ED1007" w:rsidRDefault="00976004" w:rsidP="00976004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05A2363B" w14:textId="62E5F535" w:rsidR="00976004" w:rsidRPr="00ED1007" w:rsidRDefault="00976004" w:rsidP="00976004">
            <w:pPr>
              <w:rPr>
                <w:szCs w:val="24"/>
              </w:rPr>
            </w:pPr>
            <w:r w:rsidRPr="00ED1007">
              <w:rPr>
                <w:szCs w:val="24"/>
              </w:rPr>
              <w:t xml:space="preserve">The Fund’s Actuary – Laura McInroy of Hymans Robertson – </w:t>
            </w:r>
            <w:r>
              <w:rPr>
                <w:szCs w:val="24"/>
              </w:rPr>
              <w:t xml:space="preserve">will update the </w:t>
            </w:r>
            <w:r w:rsidR="00821C13">
              <w:rPr>
                <w:szCs w:val="24"/>
              </w:rPr>
              <w:t xml:space="preserve">on the progress with the triennial valuation and the next steps. </w:t>
            </w:r>
          </w:p>
          <w:p w14:paraId="1E1514AC" w14:textId="77777777" w:rsidR="00976004" w:rsidRPr="00ED1007" w:rsidRDefault="00976004" w:rsidP="00821C13">
            <w:pPr>
              <w:rPr>
                <w:szCs w:val="24"/>
              </w:rPr>
            </w:pPr>
          </w:p>
        </w:tc>
      </w:tr>
    </w:tbl>
    <w:p w14:paraId="7A891A48" w14:textId="77777777" w:rsidR="00976004" w:rsidRDefault="00976004" w:rsidP="00976004">
      <w:pPr>
        <w:ind w:left="720"/>
        <w:jc w:val="both"/>
        <w:rPr>
          <w:szCs w:val="24"/>
        </w:rPr>
      </w:pPr>
    </w:p>
    <w:p w14:paraId="47BFB0B9" w14:textId="3FAD32B4" w:rsidR="003315E4" w:rsidRDefault="00BD02E1" w:rsidP="003C3462">
      <w:pPr>
        <w:numPr>
          <w:ilvl w:val="0"/>
          <w:numId w:val="16"/>
        </w:numPr>
        <w:jc w:val="both"/>
        <w:rPr>
          <w:szCs w:val="24"/>
        </w:rPr>
      </w:pPr>
      <w:r w:rsidRPr="00133785">
        <w:rPr>
          <w:szCs w:val="24"/>
        </w:rPr>
        <w:t>T</w:t>
      </w:r>
      <w:r w:rsidR="00260000" w:rsidRPr="00133785">
        <w:rPr>
          <w:szCs w:val="24"/>
        </w:rPr>
        <w:t>h</w:t>
      </w:r>
      <w:r w:rsidR="003315E4" w:rsidRPr="00133785">
        <w:rPr>
          <w:szCs w:val="24"/>
        </w:rPr>
        <w:t xml:space="preserve">e Pension Fund’s </w:t>
      </w:r>
      <w:r w:rsidR="00260000" w:rsidRPr="00133785">
        <w:rPr>
          <w:szCs w:val="24"/>
        </w:rPr>
        <w:t>investments were valued at</w:t>
      </w:r>
      <w:r w:rsidRPr="00133785">
        <w:rPr>
          <w:szCs w:val="24"/>
        </w:rPr>
        <w:t xml:space="preserve"> £1,</w:t>
      </w:r>
      <w:r w:rsidR="00133785" w:rsidRPr="00133785">
        <w:rPr>
          <w:szCs w:val="24"/>
        </w:rPr>
        <w:t>018</w:t>
      </w:r>
      <w:r w:rsidRPr="00133785">
        <w:rPr>
          <w:szCs w:val="24"/>
        </w:rPr>
        <w:t xml:space="preserve">m at 31 </w:t>
      </w:r>
      <w:r w:rsidR="00133785" w:rsidRPr="00133785">
        <w:rPr>
          <w:szCs w:val="24"/>
        </w:rPr>
        <w:t>March 2022</w:t>
      </w:r>
      <w:r w:rsidRPr="00133785">
        <w:rPr>
          <w:szCs w:val="24"/>
        </w:rPr>
        <w:t xml:space="preserve">. The details are </w:t>
      </w:r>
      <w:r w:rsidR="003315E4" w:rsidRPr="00133785">
        <w:rPr>
          <w:szCs w:val="24"/>
        </w:rPr>
        <w:t xml:space="preserve">shown at appendix </w:t>
      </w:r>
      <w:r w:rsidR="00CB4353" w:rsidRPr="00133785">
        <w:rPr>
          <w:szCs w:val="24"/>
        </w:rPr>
        <w:t>1</w:t>
      </w:r>
      <w:r w:rsidRPr="00133785">
        <w:rPr>
          <w:szCs w:val="24"/>
        </w:rPr>
        <w:t xml:space="preserve">. There </w:t>
      </w:r>
      <w:r w:rsidR="00260000" w:rsidRPr="00133785">
        <w:rPr>
          <w:szCs w:val="24"/>
        </w:rPr>
        <w:t>have been further drawdowns to both the LCIV Infrastructure Fund and the LCIV Renewables Infrastructure Fund</w:t>
      </w:r>
      <w:r w:rsidRPr="00133785">
        <w:rPr>
          <w:szCs w:val="24"/>
        </w:rPr>
        <w:t xml:space="preserve"> </w:t>
      </w:r>
      <w:r w:rsidR="00133785">
        <w:rPr>
          <w:szCs w:val="24"/>
        </w:rPr>
        <w:t>Q2 of 2022, and the transition</w:t>
      </w:r>
      <w:r w:rsidR="00821C13">
        <w:rPr>
          <w:szCs w:val="24"/>
        </w:rPr>
        <w:t xml:space="preserve"> of Emerging market equities (see above) will be completed in July 2022. </w:t>
      </w:r>
      <w:r w:rsidRPr="00133785">
        <w:rPr>
          <w:szCs w:val="24"/>
        </w:rPr>
        <w:t xml:space="preserve"> </w:t>
      </w:r>
      <w:r w:rsidR="00260000" w:rsidRPr="00133785">
        <w:rPr>
          <w:szCs w:val="24"/>
        </w:rPr>
        <w:t xml:space="preserve">At 31 </w:t>
      </w:r>
      <w:r w:rsidR="00821C13">
        <w:rPr>
          <w:szCs w:val="24"/>
        </w:rPr>
        <w:t>March 2022</w:t>
      </w:r>
      <w:r w:rsidR="00260000" w:rsidRPr="00133785">
        <w:rPr>
          <w:szCs w:val="24"/>
        </w:rPr>
        <w:t>, 6</w:t>
      </w:r>
      <w:r w:rsidR="00821C13">
        <w:rPr>
          <w:szCs w:val="24"/>
        </w:rPr>
        <w:t>9</w:t>
      </w:r>
      <w:r w:rsidR="00260000" w:rsidRPr="00133785">
        <w:rPr>
          <w:szCs w:val="24"/>
        </w:rPr>
        <w:t>.</w:t>
      </w:r>
      <w:r w:rsidRPr="00133785">
        <w:rPr>
          <w:szCs w:val="24"/>
        </w:rPr>
        <w:t>9</w:t>
      </w:r>
      <w:r w:rsidR="00260000" w:rsidRPr="00133785">
        <w:rPr>
          <w:szCs w:val="24"/>
        </w:rPr>
        <w:t>% of the Fund’s investments were pooled or in passive investments which are regarded as being pooled.</w:t>
      </w:r>
      <w:r w:rsidR="0059168C" w:rsidRPr="00133785">
        <w:rPr>
          <w:szCs w:val="24"/>
        </w:rPr>
        <w:t xml:space="preserve"> </w:t>
      </w:r>
    </w:p>
    <w:p w14:paraId="349F1E67" w14:textId="77777777" w:rsidR="00133785" w:rsidRDefault="00133785" w:rsidP="00133785">
      <w:pPr>
        <w:ind w:left="720"/>
        <w:jc w:val="both"/>
        <w:rPr>
          <w:szCs w:val="24"/>
        </w:rPr>
      </w:pPr>
    </w:p>
    <w:p w14:paraId="03D66B6A" w14:textId="16E019AD" w:rsidR="00933709" w:rsidRPr="00821C13" w:rsidRDefault="00821C13" w:rsidP="00F10D16">
      <w:pPr>
        <w:numPr>
          <w:ilvl w:val="0"/>
          <w:numId w:val="16"/>
        </w:numPr>
        <w:jc w:val="both"/>
        <w:rPr>
          <w:szCs w:val="24"/>
        </w:rPr>
      </w:pPr>
      <w:r w:rsidRPr="00821C13">
        <w:rPr>
          <w:szCs w:val="24"/>
        </w:rPr>
        <w:t xml:space="preserve">The Fund’s past service liabilities at 31 March 2022 totalled £1,010m meaning the Fund was approximately 101% funded. </w:t>
      </w:r>
    </w:p>
    <w:p w14:paraId="5F6BD5FD" w14:textId="77777777" w:rsidR="006B5B52" w:rsidRPr="00ED1007" w:rsidRDefault="006B5B52" w:rsidP="006B5B52">
      <w:pPr>
        <w:pStyle w:val="Heading2"/>
      </w:pPr>
      <w:r w:rsidRPr="00821C13">
        <w:t>Legal Implications</w:t>
      </w:r>
    </w:p>
    <w:p w14:paraId="4DA3F6E4" w14:textId="77777777" w:rsidR="006B5B52" w:rsidRPr="00ED1007" w:rsidRDefault="006B5B52" w:rsidP="006B5B52">
      <w:pPr>
        <w:ind w:left="720"/>
        <w:jc w:val="both"/>
      </w:pPr>
    </w:p>
    <w:p w14:paraId="56739B89" w14:textId="77777777" w:rsidR="006B5B52" w:rsidRPr="00ED1007" w:rsidRDefault="006B5B52" w:rsidP="006B5B52">
      <w:pPr>
        <w:pStyle w:val="ListParagraph"/>
      </w:pPr>
    </w:p>
    <w:p w14:paraId="1AE22C2D" w14:textId="7F1C0BB7" w:rsidR="006B5B52" w:rsidRPr="00ED1007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ED1007">
        <w:rPr>
          <w:szCs w:val="24"/>
        </w:rPr>
        <w:t>There are no direct legal implications arising from this report.</w:t>
      </w:r>
    </w:p>
    <w:p w14:paraId="71FA671C" w14:textId="77777777" w:rsidR="005740D4" w:rsidRPr="00ED1007" w:rsidRDefault="005740D4" w:rsidP="005740D4">
      <w:pPr>
        <w:ind w:left="720"/>
        <w:jc w:val="both"/>
        <w:rPr>
          <w:szCs w:val="24"/>
        </w:rPr>
      </w:pPr>
    </w:p>
    <w:p w14:paraId="363D85C0" w14:textId="69135E10" w:rsidR="005740D4" w:rsidRPr="00ED1007" w:rsidRDefault="005740D4" w:rsidP="005740D4">
      <w:pPr>
        <w:numPr>
          <w:ilvl w:val="0"/>
          <w:numId w:val="16"/>
        </w:numPr>
        <w:jc w:val="both"/>
        <w:rPr>
          <w:szCs w:val="24"/>
        </w:rPr>
      </w:pPr>
      <w:r w:rsidRPr="00ED1007">
        <w:rPr>
          <w:szCs w:val="24"/>
        </w:rPr>
        <w:t>The terms of reference for the Board include</w:t>
      </w:r>
      <w:r w:rsidRPr="00ED1007">
        <w:t xml:space="preserve"> </w:t>
      </w:r>
      <w:r w:rsidRPr="00ED1007">
        <w:rPr>
          <w:szCs w:val="24"/>
        </w:rPr>
        <w:t>assisting the Administering Authority (London Borough of Harrow) as Scheme Manager in ensuring the effective and efficient governance and administration of the Local Government Pension Scheme.</w:t>
      </w:r>
    </w:p>
    <w:p w14:paraId="75BF25CE" w14:textId="77777777" w:rsidR="006B5B52" w:rsidRPr="00ED1007" w:rsidRDefault="006B5B52" w:rsidP="006B5B52">
      <w:pPr>
        <w:pStyle w:val="Heading2"/>
        <w:spacing w:after="240"/>
      </w:pPr>
      <w:r w:rsidRPr="00ED1007">
        <w:t>Financial Implications</w:t>
      </w:r>
    </w:p>
    <w:p w14:paraId="4C08F992" w14:textId="0F5B26BD" w:rsidR="006B5B52" w:rsidRPr="00ED1007" w:rsidRDefault="006B5B52" w:rsidP="006B5B52">
      <w:pPr>
        <w:ind w:left="720"/>
        <w:jc w:val="both"/>
        <w:rPr>
          <w:szCs w:val="24"/>
        </w:rPr>
      </w:pPr>
    </w:p>
    <w:p w14:paraId="42CA06A9" w14:textId="2A3E5B29" w:rsidR="006B5B52" w:rsidRPr="00ED1007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ED1007">
        <w:rPr>
          <w:szCs w:val="24"/>
          <w:lang w:val="en-US"/>
        </w:rPr>
        <w:t>Whilst the performance and effective controls of the fund managers is of paramount importance in the performance of the Pension Fund, there are no</w:t>
      </w:r>
      <w:r w:rsidR="00F6771C" w:rsidRPr="00ED1007">
        <w:rPr>
          <w:szCs w:val="24"/>
          <w:lang w:val="en-US"/>
        </w:rPr>
        <w:t xml:space="preserve"> direct </w:t>
      </w:r>
      <w:r w:rsidRPr="00ED1007">
        <w:rPr>
          <w:szCs w:val="24"/>
          <w:lang w:val="en-US"/>
        </w:rPr>
        <w:t>financial implications arising from this report.</w:t>
      </w:r>
    </w:p>
    <w:p w14:paraId="0568C5C0" w14:textId="77777777" w:rsidR="006B5B52" w:rsidRPr="00ED1007" w:rsidRDefault="006B5B52" w:rsidP="006B5B52">
      <w:pPr>
        <w:pStyle w:val="Heading2"/>
        <w:spacing w:after="240"/>
      </w:pPr>
      <w:r w:rsidRPr="00ED1007">
        <w:t>Risk Management Implications</w:t>
      </w:r>
    </w:p>
    <w:p w14:paraId="34DCB0E4" w14:textId="117AE982" w:rsidR="006B5B52" w:rsidRPr="00ED1007" w:rsidRDefault="006B5B52" w:rsidP="006B5B52">
      <w:pPr>
        <w:ind w:left="720"/>
        <w:jc w:val="both"/>
        <w:rPr>
          <w:szCs w:val="24"/>
          <w:lang w:val="en-US"/>
        </w:rPr>
      </w:pPr>
    </w:p>
    <w:p w14:paraId="21DD527F" w14:textId="7658E7AB" w:rsidR="00F6771C" w:rsidRPr="00ED1007" w:rsidRDefault="00F6771C" w:rsidP="00F6771C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ED1007">
        <w:t xml:space="preserve">The Pension Fund’s Risk Register is reviewed regularly by both the Pension Fund Committee and by the Board. The </w:t>
      </w:r>
      <w:r w:rsidR="0064241B" w:rsidRPr="00ED1007">
        <w:t xml:space="preserve">next review will be considered by the Board at </w:t>
      </w:r>
      <w:r w:rsidR="00260000" w:rsidRPr="00ED1007">
        <w:t>this meeting.</w:t>
      </w:r>
      <w:r w:rsidRPr="00ED1007">
        <w:t xml:space="preserve"> </w:t>
      </w:r>
    </w:p>
    <w:p w14:paraId="42B288D6" w14:textId="77777777" w:rsidR="00F6771C" w:rsidRPr="00ED1007" w:rsidRDefault="00F6771C" w:rsidP="00F6771C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0E59B0B9" w14:textId="56384425" w:rsidR="00F6771C" w:rsidRPr="00ED1007" w:rsidRDefault="00F6771C" w:rsidP="00F6771C">
      <w:pPr>
        <w:numPr>
          <w:ilvl w:val="0"/>
          <w:numId w:val="16"/>
        </w:numPr>
        <w:jc w:val="both"/>
      </w:pPr>
      <w:r w:rsidRPr="00ED1007">
        <w:t>There are no specific risk management implications arising from this report. The level of risk to which its investments are exposed is a key component in developing the Fund’s investment strategy</w:t>
      </w:r>
    </w:p>
    <w:p w14:paraId="16855B49" w14:textId="77777777" w:rsidR="00C55540" w:rsidRPr="00ED1007" w:rsidRDefault="00C55540" w:rsidP="00C55540">
      <w:pPr>
        <w:pStyle w:val="Heading2"/>
        <w:keepNext/>
        <w:spacing w:after="240"/>
      </w:pPr>
      <w:r w:rsidRPr="00ED1007">
        <w:lastRenderedPageBreak/>
        <w:t xml:space="preserve">Equalities implications / Public Sector Equality Duty </w:t>
      </w:r>
    </w:p>
    <w:p w14:paraId="150BCE92" w14:textId="54EFFC9B" w:rsidR="00C55540" w:rsidRPr="00ED1007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1007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ED1007" w:rsidRDefault="00C55540" w:rsidP="00C55540">
      <w:pPr>
        <w:rPr>
          <w:szCs w:val="24"/>
        </w:rPr>
      </w:pPr>
    </w:p>
    <w:p w14:paraId="6F845081" w14:textId="32E69A0F" w:rsidR="00C55540" w:rsidRPr="00ED1007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ED1007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ED1007" w:rsidRDefault="00C55540" w:rsidP="00C55540">
      <w:pPr>
        <w:pStyle w:val="Heading2"/>
        <w:spacing w:after="240"/>
      </w:pPr>
      <w:r w:rsidRPr="00ED1007">
        <w:t>Council Priorities</w:t>
      </w:r>
    </w:p>
    <w:p w14:paraId="270E4104" w14:textId="4E565CAF" w:rsidR="00C55540" w:rsidRPr="00ED1007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D1007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77777777" w:rsidR="002A2389" w:rsidRPr="00ED1007" w:rsidRDefault="002A2389" w:rsidP="00912904">
      <w:pPr>
        <w:pStyle w:val="Heading2"/>
      </w:pPr>
      <w:r w:rsidRPr="00ED1007">
        <w:t>Section 3 - Statutory Officer Clearance</w:t>
      </w:r>
    </w:p>
    <w:p w14:paraId="077143F8" w14:textId="77777777" w:rsidR="002A2389" w:rsidRPr="00ED1007" w:rsidRDefault="002A2389" w:rsidP="008D1750">
      <w:pPr>
        <w:keepNext/>
        <w:rPr>
          <w:rFonts w:cs="Arial"/>
        </w:rPr>
      </w:pPr>
    </w:p>
    <w:p w14:paraId="1F493ADE" w14:textId="15498218" w:rsidR="00912904" w:rsidRPr="00ED1007" w:rsidRDefault="00912904" w:rsidP="00912904">
      <w:pPr>
        <w:rPr>
          <w:sz w:val="28"/>
        </w:rPr>
      </w:pPr>
      <w:r w:rsidRPr="00ED1007">
        <w:rPr>
          <w:b/>
          <w:sz w:val="28"/>
        </w:rPr>
        <w:t xml:space="preserve">Statutory Officer:  </w:t>
      </w:r>
      <w:r w:rsidR="009D1F7E">
        <w:rPr>
          <w:b/>
          <w:sz w:val="28"/>
        </w:rPr>
        <w:t>Dawn Calvert</w:t>
      </w:r>
    </w:p>
    <w:p w14:paraId="57640BD9" w14:textId="1B3D01B2" w:rsidR="00912904" w:rsidRPr="00ED1007" w:rsidRDefault="00912904" w:rsidP="00912904">
      <w:r w:rsidRPr="00ED1007">
        <w:t>Signed by the Chief Financial Officer</w:t>
      </w:r>
    </w:p>
    <w:p w14:paraId="5745A2E3" w14:textId="4D747C12" w:rsidR="00912904" w:rsidRPr="00ED1007" w:rsidRDefault="00912904" w:rsidP="00912904">
      <w:pPr>
        <w:spacing w:after="480"/>
        <w:rPr>
          <w:sz w:val="28"/>
        </w:rPr>
      </w:pPr>
      <w:r w:rsidRPr="00ED1007">
        <w:rPr>
          <w:b/>
          <w:sz w:val="28"/>
        </w:rPr>
        <w:t xml:space="preserve">Date: </w:t>
      </w:r>
      <w:r w:rsidR="009D1F7E">
        <w:rPr>
          <w:b/>
          <w:sz w:val="28"/>
        </w:rPr>
        <w:t>07/07/2022</w:t>
      </w:r>
    </w:p>
    <w:p w14:paraId="2586CC50" w14:textId="042F3205" w:rsidR="00912904" w:rsidRPr="00ED1007" w:rsidRDefault="00912904" w:rsidP="00912904">
      <w:pPr>
        <w:rPr>
          <w:sz w:val="28"/>
        </w:rPr>
      </w:pPr>
      <w:r w:rsidRPr="00ED1007">
        <w:rPr>
          <w:b/>
          <w:sz w:val="28"/>
        </w:rPr>
        <w:t xml:space="preserve">Statutory Officer:  </w:t>
      </w:r>
      <w:r w:rsidR="006E48DE">
        <w:rPr>
          <w:b/>
          <w:sz w:val="28"/>
        </w:rPr>
        <w:t>Sharon Clarke</w:t>
      </w:r>
    </w:p>
    <w:p w14:paraId="3F58D77A" w14:textId="16A5F915" w:rsidR="00912904" w:rsidRPr="00ED1007" w:rsidRDefault="00912904" w:rsidP="00912904">
      <w:r w:rsidRPr="00ED1007">
        <w:t>Signed on behalf of the Monitoring Officer</w:t>
      </w:r>
    </w:p>
    <w:p w14:paraId="61F8C7E6" w14:textId="7BF4F4F3" w:rsidR="00912904" w:rsidRPr="00ED1007" w:rsidRDefault="00912904" w:rsidP="005740D4">
      <w:pPr>
        <w:tabs>
          <w:tab w:val="left" w:pos="1550"/>
        </w:tabs>
        <w:spacing w:after="480"/>
        <w:rPr>
          <w:sz w:val="28"/>
        </w:rPr>
      </w:pPr>
      <w:r w:rsidRPr="00ED1007">
        <w:rPr>
          <w:b/>
          <w:sz w:val="28"/>
        </w:rPr>
        <w:t>Date</w:t>
      </w:r>
      <w:r w:rsidR="004D6347" w:rsidRPr="00ED1007">
        <w:rPr>
          <w:b/>
          <w:sz w:val="28"/>
        </w:rPr>
        <w:t xml:space="preserve">: </w:t>
      </w:r>
      <w:r w:rsidR="006E48DE">
        <w:rPr>
          <w:b/>
          <w:sz w:val="28"/>
        </w:rPr>
        <w:t>07/07/2022</w:t>
      </w:r>
    </w:p>
    <w:p w14:paraId="52D95F67" w14:textId="53423357" w:rsidR="009F30CC" w:rsidRPr="00ED1007" w:rsidRDefault="004A4A1D" w:rsidP="00912904">
      <w:pPr>
        <w:rPr>
          <w:b/>
          <w:sz w:val="28"/>
        </w:rPr>
      </w:pPr>
      <w:r w:rsidRPr="00ED1007">
        <w:rPr>
          <w:b/>
          <w:sz w:val="28"/>
        </w:rPr>
        <w:t>Chief</w:t>
      </w:r>
      <w:r w:rsidR="00912904" w:rsidRPr="00ED1007">
        <w:rPr>
          <w:b/>
          <w:sz w:val="28"/>
        </w:rPr>
        <w:t xml:space="preserve"> Officer:  </w:t>
      </w:r>
      <w:r w:rsidR="009D1F7E">
        <w:rPr>
          <w:b/>
          <w:sz w:val="28"/>
        </w:rPr>
        <w:t>Dawn Calvert</w:t>
      </w:r>
    </w:p>
    <w:p w14:paraId="12E4D11B" w14:textId="105C993E" w:rsidR="00912904" w:rsidRPr="00ED1007" w:rsidRDefault="00365D29" w:rsidP="00912904">
      <w:r w:rsidRPr="00ED1007">
        <w:t>Signed</w:t>
      </w:r>
      <w:r w:rsidR="00912904" w:rsidRPr="00ED1007">
        <w:t xml:space="preserve"> </w:t>
      </w:r>
      <w:r w:rsidR="00581AB1" w:rsidRPr="00ED1007">
        <w:t>on behalf of</w:t>
      </w:r>
      <w:r w:rsidR="00912904" w:rsidRPr="00ED1007">
        <w:t xml:space="preserve"> the Corporate Director</w:t>
      </w:r>
    </w:p>
    <w:p w14:paraId="21482980" w14:textId="2D2A7A72" w:rsidR="00912904" w:rsidRPr="00ED1007" w:rsidRDefault="00912904" w:rsidP="00912904">
      <w:pPr>
        <w:spacing w:after="480"/>
        <w:rPr>
          <w:sz w:val="28"/>
        </w:rPr>
      </w:pPr>
      <w:r w:rsidRPr="00ED1007">
        <w:rPr>
          <w:b/>
          <w:sz w:val="28"/>
        </w:rPr>
        <w:t xml:space="preserve">Date:  </w:t>
      </w:r>
      <w:r w:rsidR="009D1F7E">
        <w:rPr>
          <w:b/>
          <w:sz w:val="28"/>
        </w:rPr>
        <w:t>07/07/2022</w:t>
      </w:r>
    </w:p>
    <w:p w14:paraId="686CE5D8" w14:textId="77777777" w:rsidR="00912904" w:rsidRPr="00ED1007" w:rsidRDefault="00912904" w:rsidP="00912904">
      <w:pPr>
        <w:pStyle w:val="Heading2"/>
        <w:spacing w:after="240"/>
      </w:pPr>
      <w:r w:rsidRPr="00ED1007">
        <w:t>Mandatory Checks</w:t>
      </w:r>
    </w:p>
    <w:p w14:paraId="71FBC41D" w14:textId="7581A8CD" w:rsidR="00912904" w:rsidRPr="00ED1007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D1007">
        <w:rPr>
          <w:sz w:val="28"/>
        </w:rPr>
        <w:t>Ward Councillors notified:  N</w:t>
      </w:r>
      <w:r w:rsidR="00F6771C" w:rsidRPr="00ED1007">
        <w:rPr>
          <w:sz w:val="28"/>
        </w:rPr>
        <w:t>ot Applicable</w:t>
      </w:r>
      <w:r w:rsidRPr="00ED1007">
        <w:rPr>
          <w:i/>
          <w:color w:val="FF0000"/>
          <w:szCs w:val="24"/>
        </w:rPr>
        <w:t xml:space="preserve"> </w:t>
      </w:r>
    </w:p>
    <w:p w14:paraId="629F8205" w14:textId="77777777" w:rsidR="002A2389" w:rsidRPr="00ED1007" w:rsidRDefault="002A2389" w:rsidP="00912904">
      <w:pPr>
        <w:pStyle w:val="Heading2"/>
        <w:keepNext/>
        <w:spacing w:after="240"/>
      </w:pPr>
      <w:r w:rsidRPr="00ED1007">
        <w:t>Section 4 - Contact Details and Background Papers</w:t>
      </w:r>
    </w:p>
    <w:p w14:paraId="373FA8D5" w14:textId="24AB96FD" w:rsidR="00C55540" w:rsidRPr="00ED1007" w:rsidRDefault="002A2389" w:rsidP="00C55540">
      <w:pPr>
        <w:pStyle w:val="Infotext"/>
        <w:rPr>
          <w:sz w:val="24"/>
          <w:szCs w:val="24"/>
        </w:rPr>
      </w:pPr>
      <w:r w:rsidRPr="00ED1007">
        <w:rPr>
          <w:b/>
        </w:rPr>
        <w:t>Contact:</w:t>
      </w:r>
      <w:r w:rsidRPr="00ED1007">
        <w:t xml:space="preserve">  </w:t>
      </w:r>
      <w:r w:rsidR="00C55540" w:rsidRPr="00ED1007">
        <w:rPr>
          <w:sz w:val="24"/>
          <w:szCs w:val="24"/>
        </w:rPr>
        <w:t xml:space="preserve">Jeremy Randall – Interim Pensions </w:t>
      </w:r>
      <w:r w:rsidR="00CE039D" w:rsidRPr="00ED1007">
        <w:rPr>
          <w:sz w:val="24"/>
          <w:szCs w:val="24"/>
        </w:rPr>
        <w:t>Manager</w:t>
      </w:r>
    </w:p>
    <w:p w14:paraId="1C4BF2D4" w14:textId="65CC335C" w:rsidR="002A2389" w:rsidRPr="00ED1007" w:rsidRDefault="00C55540" w:rsidP="00C55540">
      <w:pPr>
        <w:pStyle w:val="Infotext"/>
        <w:rPr>
          <w:rStyle w:val="Hyperlink"/>
          <w:sz w:val="24"/>
          <w:szCs w:val="24"/>
        </w:rPr>
      </w:pPr>
      <w:r w:rsidRPr="00ED1007">
        <w:rPr>
          <w:sz w:val="24"/>
          <w:szCs w:val="24"/>
        </w:rPr>
        <w:t xml:space="preserve">Email: </w:t>
      </w:r>
      <w:hyperlink r:id="rId8" w:history="1">
        <w:r w:rsidRPr="00ED1007">
          <w:rPr>
            <w:rStyle w:val="Hyperlink"/>
            <w:sz w:val="24"/>
            <w:szCs w:val="24"/>
          </w:rPr>
          <w:t>Jeremy.randall@harrow.gov.uk</w:t>
        </w:r>
      </w:hyperlink>
    </w:p>
    <w:p w14:paraId="65DB4D40" w14:textId="2D7010B6" w:rsidR="00CE039D" w:rsidRPr="00ED1007" w:rsidRDefault="00CE039D" w:rsidP="00C55540">
      <w:pPr>
        <w:pStyle w:val="Infotext"/>
      </w:pPr>
      <w:r w:rsidRPr="00ED1007"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ED1007">
        <w:rPr>
          <w:b/>
        </w:rPr>
        <w:t>Background Papers</w:t>
      </w:r>
      <w:r w:rsidRPr="00ED1007">
        <w:t xml:space="preserve">:  </w:t>
      </w:r>
      <w:r w:rsidR="00C55540" w:rsidRPr="00ED1007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AA4"/>
    <w:multiLevelType w:val="hybridMultilevel"/>
    <w:tmpl w:val="CB728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9E31D5"/>
    <w:multiLevelType w:val="hybridMultilevel"/>
    <w:tmpl w:val="E7AAE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052"/>
    <w:multiLevelType w:val="hybridMultilevel"/>
    <w:tmpl w:val="4C3E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E02E1"/>
    <w:multiLevelType w:val="hybridMultilevel"/>
    <w:tmpl w:val="8AA2D900"/>
    <w:lvl w:ilvl="0" w:tplc="0944D776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84F"/>
    <w:multiLevelType w:val="hybridMultilevel"/>
    <w:tmpl w:val="7CE27692"/>
    <w:lvl w:ilvl="0" w:tplc="348A0724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23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0"/>
  </w:num>
  <w:num w:numId="20">
    <w:abstractNumId w:val="22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34EE1"/>
    <w:rsid w:val="00057F10"/>
    <w:rsid w:val="000633A2"/>
    <w:rsid w:val="00070F70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10A2F"/>
    <w:rsid w:val="001167DE"/>
    <w:rsid w:val="00133785"/>
    <w:rsid w:val="00182AA1"/>
    <w:rsid w:val="001939BA"/>
    <w:rsid w:val="001A472C"/>
    <w:rsid w:val="001A6EB0"/>
    <w:rsid w:val="001B441D"/>
    <w:rsid w:val="001C4374"/>
    <w:rsid w:val="001C5225"/>
    <w:rsid w:val="001C6F48"/>
    <w:rsid w:val="001E0219"/>
    <w:rsid w:val="001F6722"/>
    <w:rsid w:val="00213BE7"/>
    <w:rsid w:val="00231A1D"/>
    <w:rsid w:val="00244120"/>
    <w:rsid w:val="00251F95"/>
    <w:rsid w:val="00260000"/>
    <w:rsid w:val="00290AFE"/>
    <w:rsid w:val="00293F9F"/>
    <w:rsid w:val="002A2389"/>
    <w:rsid w:val="002A2C3A"/>
    <w:rsid w:val="002A5BDC"/>
    <w:rsid w:val="002C08E2"/>
    <w:rsid w:val="002C1794"/>
    <w:rsid w:val="002D2FC5"/>
    <w:rsid w:val="002E6637"/>
    <w:rsid w:val="002E77E3"/>
    <w:rsid w:val="003315E4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6775A"/>
    <w:rsid w:val="00473B08"/>
    <w:rsid w:val="00474B5F"/>
    <w:rsid w:val="00481F2C"/>
    <w:rsid w:val="0049221F"/>
    <w:rsid w:val="004A3CE6"/>
    <w:rsid w:val="004A4A1D"/>
    <w:rsid w:val="004B2C9D"/>
    <w:rsid w:val="004B4A47"/>
    <w:rsid w:val="004B5D7B"/>
    <w:rsid w:val="004D6347"/>
    <w:rsid w:val="004E667D"/>
    <w:rsid w:val="004E6AF9"/>
    <w:rsid w:val="005031DF"/>
    <w:rsid w:val="00540AA5"/>
    <w:rsid w:val="00542378"/>
    <w:rsid w:val="00567D42"/>
    <w:rsid w:val="005740D4"/>
    <w:rsid w:val="00581AB1"/>
    <w:rsid w:val="0059168C"/>
    <w:rsid w:val="00597314"/>
    <w:rsid w:val="005A61AF"/>
    <w:rsid w:val="005C19FD"/>
    <w:rsid w:val="005D0886"/>
    <w:rsid w:val="005E384D"/>
    <w:rsid w:val="005F2181"/>
    <w:rsid w:val="005F724B"/>
    <w:rsid w:val="00625DFF"/>
    <w:rsid w:val="0063072B"/>
    <w:rsid w:val="0064241B"/>
    <w:rsid w:val="00662891"/>
    <w:rsid w:val="006628B7"/>
    <w:rsid w:val="00675FCB"/>
    <w:rsid w:val="006B1C6D"/>
    <w:rsid w:val="006B3942"/>
    <w:rsid w:val="006B5B52"/>
    <w:rsid w:val="006C3914"/>
    <w:rsid w:val="006D3648"/>
    <w:rsid w:val="006E25E2"/>
    <w:rsid w:val="006E48DE"/>
    <w:rsid w:val="00727AB7"/>
    <w:rsid w:val="0074184E"/>
    <w:rsid w:val="00743829"/>
    <w:rsid w:val="0075166A"/>
    <w:rsid w:val="00751DF2"/>
    <w:rsid w:val="00755F8D"/>
    <w:rsid w:val="00777E2D"/>
    <w:rsid w:val="00796503"/>
    <w:rsid w:val="007B524B"/>
    <w:rsid w:val="007D2BDA"/>
    <w:rsid w:val="007D56C8"/>
    <w:rsid w:val="007E3934"/>
    <w:rsid w:val="007E7303"/>
    <w:rsid w:val="008212A0"/>
    <w:rsid w:val="00821C13"/>
    <w:rsid w:val="00837F53"/>
    <w:rsid w:val="00845600"/>
    <w:rsid w:val="008D1750"/>
    <w:rsid w:val="008D7800"/>
    <w:rsid w:val="008E2910"/>
    <w:rsid w:val="008E4913"/>
    <w:rsid w:val="008E6C0C"/>
    <w:rsid w:val="00900464"/>
    <w:rsid w:val="0090100E"/>
    <w:rsid w:val="00912904"/>
    <w:rsid w:val="00933709"/>
    <w:rsid w:val="0093767E"/>
    <w:rsid w:val="00972A02"/>
    <w:rsid w:val="00976004"/>
    <w:rsid w:val="009824C9"/>
    <w:rsid w:val="0099517C"/>
    <w:rsid w:val="009A0937"/>
    <w:rsid w:val="009A42BE"/>
    <w:rsid w:val="009B2ECD"/>
    <w:rsid w:val="009B7914"/>
    <w:rsid w:val="009D1F7E"/>
    <w:rsid w:val="009F30CC"/>
    <w:rsid w:val="009F430B"/>
    <w:rsid w:val="00A160B2"/>
    <w:rsid w:val="00A34E82"/>
    <w:rsid w:val="00A360D6"/>
    <w:rsid w:val="00A42A08"/>
    <w:rsid w:val="00A5339D"/>
    <w:rsid w:val="00A566E7"/>
    <w:rsid w:val="00A644A0"/>
    <w:rsid w:val="00A940D3"/>
    <w:rsid w:val="00A96FCA"/>
    <w:rsid w:val="00AA4BE8"/>
    <w:rsid w:val="00AB54A5"/>
    <w:rsid w:val="00AC0AAB"/>
    <w:rsid w:val="00AC7BA9"/>
    <w:rsid w:val="00AE19AC"/>
    <w:rsid w:val="00AF03DC"/>
    <w:rsid w:val="00AF5A3E"/>
    <w:rsid w:val="00B0425E"/>
    <w:rsid w:val="00B67880"/>
    <w:rsid w:val="00B900E2"/>
    <w:rsid w:val="00B9118E"/>
    <w:rsid w:val="00BA423E"/>
    <w:rsid w:val="00BD02E1"/>
    <w:rsid w:val="00BD6115"/>
    <w:rsid w:val="00BD684A"/>
    <w:rsid w:val="00BF6C03"/>
    <w:rsid w:val="00C32DAE"/>
    <w:rsid w:val="00C34564"/>
    <w:rsid w:val="00C40E24"/>
    <w:rsid w:val="00C55540"/>
    <w:rsid w:val="00C61B80"/>
    <w:rsid w:val="00C92D9A"/>
    <w:rsid w:val="00C96EF5"/>
    <w:rsid w:val="00CB4353"/>
    <w:rsid w:val="00CE039D"/>
    <w:rsid w:val="00CE4DD2"/>
    <w:rsid w:val="00D25064"/>
    <w:rsid w:val="00D32B51"/>
    <w:rsid w:val="00D34668"/>
    <w:rsid w:val="00D365CC"/>
    <w:rsid w:val="00D3740E"/>
    <w:rsid w:val="00D40335"/>
    <w:rsid w:val="00D40976"/>
    <w:rsid w:val="00D82F57"/>
    <w:rsid w:val="00D841A5"/>
    <w:rsid w:val="00D914D2"/>
    <w:rsid w:val="00DA25DB"/>
    <w:rsid w:val="00DB0791"/>
    <w:rsid w:val="00DC288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C05E5"/>
    <w:rsid w:val="00ED1007"/>
    <w:rsid w:val="00EF2F91"/>
    <w:rsid w:val="00F1403C"/>
    <w:rsid w:val="00F33EE3"/>
    <w:rsid w:val="00F4213B"/>
    <w:rsid w:val="00F45A59"/>
    <w:rsid w:val="00F6771C"/>
    <w:rsid w:val="00F77A86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table" w:styleId="TableGrid">
    <w:name w:val="Table Grid"/>
    <w:basedOn w:val="TableNormal"/>
    <w:rsid w:val="0075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856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5569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Kemp</cp:lastModifiedBy>
  <cp:revision>10</cp:revision>
  <cp:lastPrinted>2007-07-12T09:53:00Z</cp:lastPrinted>
  <dcterms:created xsi:type="dcterms:W3CDTF">2022-06-28T11:00:00Z</dcterms:created>
  <dcterms:modified xsi:type="dcterms:W3CDTF">2022-07-20T11:47:00Z</dcterms:modified>
</cp:coreProperties>
</file>